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mina-</w:t>
      </w:r>
      <w:r>
        <w:rPr>
          <w:rStyle w:val="a0"/>
          <w:rFonts w:ascii="微软雅黑" w:hAnsi="微软雅黑"/>
          <w:b w:val="0"/>
          <w:sz w:val="21"/>
        </w:rPr>
        <w:t>ftpserver</w:t>
      </w:r>
      <w:r>
        <w:rPr>
          <w:rStyle w:val="a0"/>
          <w:rFonts w:ascii="微软雅黑" w:hAnsi="微软雅黑"/>
          <w:b w:val="0"/>
          <w:sz w:val="21"/>
        </w:rPr>
        <w:t xml:space="preserve"> 1.1.4</w:t>
      </w:r>
    </w:p>
    <w:p>
      <w:pPr/>
      <w:r>
        <w:rPr>
          <w:rStyle w:val="a0"/>
          <w:rFonts w:ascii="Arial" w:hAnsi="Arial"/>
          <w:b/>
        </w:rPr>
        <w:t xml:space="preserve">Copyright notice: </w:t>
      </w:r>
    </w:p>
    <w:p>
      <w:pPr/>
      <w:r>
        <w:rPr>
          <w:rStyle w:val="a0"/>
          <w:rFonts w:ascii="宋体" w:hAnsi="宋体"/>
          <w:sz w:val="22"/>
        </w:rPr>
        <w:t>Copyright (c) 2004-2007 QOS.ch</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