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lightcouch 0.1.8</w:t>
      </w:r>
    </w:p>
    <w:p>
      <w:pPr/>
      <w:r>
        <w:rPr>
          <w:rStyle w:val="13"/>
          <w:rFonts w:ascii="Arial" w:hAnsi="Arial"/>
          <w:b/>
        </w:rPr>
        <w:t xml:space="preserve">Copyright notice: </w:t>
      </w:r>
    </w:p>
    <w:p>
      <w:pPr/>
      <w:r>
        <w:rPr>
          <w:rStyle w:val="13"/>
          <w:rFonts w:ascii="宋体" w:hAnsi="宋体"/>
          <w:sz w:val="22"/>
        </w:rPr>
        <w:t>Copyright 2011 Ahmed Yehia (ahmed.yehia.m@gmail.com)</w:t>
        <w:br/>
        <w:t>Copyright 2011 lightcouch.org</w:t>
        <w:br/>
        <w:t>Copyright (c) 2006, 2008 Junio C Hamano</w:t>
        <w:br/>
        <w:t>Copyright (C) lightcouch.org</w:t>
        <w:br/>
        <w:t>Copyright (C) 2011 lightcouch.org</w:t>
        <w:br/>
        <w:t>Copyright (C) 2011 Ahmed Yehia (ahmed.yehia.m@gmail.com)</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